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BF3D" w14:textId="601835F8" w:rsidR="008E4CF9" w:rsidRPr="008E4CF9" w:rsidRDefault="006D6B56" w:rsidP="00AC3A30">
      <w:pPr>
        <w:jc w:val="center"/>
        <w:rPr>
          <w:rFonts w:ascii="Times New Roman" w:hAnsi="Times New Roman"/>
          <w:sz w:val="24"/>
          <w:szCs w:val="24"/>
        </w:rPr>
      </w:pPr>
      <w:r w:rsidRPr="001D073A">
        <w:rPr>
          <w:rFonts w:ascii="Book Antiqua" w:hAnsi="Book Antiqua"/>
          <w:b/>
          <w:sz w:val="36"/>
          <w:szCs w:val="24"/>
        </w:rPr>
        <w:t>Paul Williams</w:t>
      </w:r>
      <w:r w:rsidR="00B8703D" w:rsidRPr="001D073A">
        <w:rPr>
          <w:rFonts w:ascii="Book Antiqua" w:hAnsi="Book Antiqua"/>
          <w:b/>
          <w:sz w:val="36"/>
          <w:szCs w:val="24"/>
        </w:rPr>
        <w:t xml:space="preserve"> Speaking Profile</w:t>
      </w:r>
      <w:r w:rsidR="00AC3A30" w:rsidRPr="00623C65">
        <w:rPr>
          <w:rFonts w:ascii="Times New Roman" w:hAnsi="Times New Roman"/>
          <w:b/>
          <w:sz w:val="24"/>
          <w:szCs w:val="24"/>
        </w:rPr>
        <w:br/>
      </w:r>
      <w:r w:rsidR="008E4CF9" w:rsidRPr="008E4CF9">
        <w:rPr>
          <w:rFonts w:ascii="Times New Roman" w:hAnsi="Times New Roman"/>
          <w:sz w:val="14"/>
          <w:szCs w:val="24"/>
        </w:rPr>
        <w:br/>
      </w:r>
      <w:r w:rsidR="008D7E82">
        <w:rPr>
          <w:rFonts w:ascii="Times New Roman" w:hAnsi="Times New Roman"/>
          <w:sz w:val="24"/>
          <w:szCs w:val="24"/>
        </w:rPr>
        <w:t>June</w:t>
      </w:r>
      <w:r w:rsidR="00D034CC">
        <w:rPr>
          <w:rFonts w:ascii="Times New Roman" w:hAnsi="Times New Roman"/>
          <w:sz w:val="24"/>
          <w:szCs w:val="24"/>
        </w:rPr>
        <w:t xml:space="preserve"> 202</w:t>
      </w:r>
      <w:r w:rsidR="00391747">
        <w:rPr>
          <w:rFonts w:ascii="Times New Roman" w:hAnsi="Times New Roman"/>
          <w:sz w:val="24"/>
          <w:szCs w:val="24"/>
        </w:rPr>
        <w:t>1</w:t>
      </w:r>
      <w:r w:rsidR="008E4CF9">
        <w:rPr>
          <w:rFonts w:ascii="Times New Roman" w:hAnsi="Times New Roman"/>
          <w:sz w:val="24"/>
          <w:szCs w:val="24"/>
        </w:rPr>
        <w:br/>
      </w:r>
    </w:p>
    <w:p w14:paraId="3C802A70" w14:textId="4B1BF175" w:rsidR="00AC3A30" w:rsidRPr="00D964A8" w:rsidRDefault="00F06F2C" w:rsidP="00B8703D">
      <w:p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noProof/>
          <w:sz w:val="21"/>
          <w:szCs w:val="21"/>
        </w:rPr>
        <w:drawing>
          <wp:anchor distT="0" distB="0" distL="114300" distR="114300" simplePos="0" relativeHeight="251657216" behindDoc="1" locked="0" layoutInCell="1" allowOverlap="1" wp14:anchorId="4EAD654B" wp14:editId="0B81B4AD">
            <wp:simplePos x="0" y="0"/>
            <wp:positionH relativeFrom="column">
              <wp:posOffset>33339</wp:posOffset>
            </wp:positionH>
            <wp:positionV relativeFrom="paragraph">
              <wp:posOffset>26658</wp:posOffset>
            </wp:positionV>
            <wp:extent cx="1095375" cy="1530350"/>
            <wp:effectExtent l="0" t="0" r="9525" b="0"/>
            <wp:wrapTight wrapText="bothSides">
              <wp:wrapPolygon edited="0">
                <wp:start x="0" y="0"/>
                <wp:lineTo x="0" y="21241"/>
                <wp:lineTo x="21412" y="21241"/>
                <wp:lineTo x="214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64A8">
        <w:rPr>
          <w:rFonts w:ascii="Book Antiqua" w:hAnsi="Book Antiqua"/>
          <w:sz w:val="21"/>
          <w:szCs w:val="21"/>
        </w:rPr>
        <w:t>Paul Williams</w:t>
      </w:r>
      <w:r w:rsidR="008F5EBF">
        <w:rPr>
          <w:rFonts w:ascii="Book Antiqua" w:hAnsi="Book Antiqua"/>
          <w:sz w:val="21"/>
          <w:szCs w:val="21"/>
        </w:rPr>
        <w:t xml:space="preserve">, </w:t>
      </w:r>
      <w:r w:rsidR="00BC631C">
        <w:rPr>
          <w:rFonts w:ascii="Book Antiqua" w:hAnsi="Book Antiqua"/>
          <w:sz w:val="21"/>
          <w:szCs w:val="21"/>
        </w:rPr>
        <w:t xml:space="preserve">CISSP, </w:t>
      </w:r>
      <w:r w:rsidR="008F5EBF">
        <w:rPr>
          <w:rFonts w:ascii="Book Antiqua" w:hAnsi="Book Antiqua"/>
          <w:sz w:val="21"/>
          <w:szCs w:val="21"/>
        </w:rPr>
        <w:t>IAM, IEM, ACE</w:t>
      </w:r>
      <w:r w:rsidR="00BC631C">
        <w:rPr>
          <w:rFonts w:ascii="Book Antiqua" w:hAnsi="Book Antiqua"/>
          <w:sz w:val="21"/>
          <w:szCs w:val="21"/>
        </w:rPr>
        <w:t>, Security+</w:t>
      </w:r>
      <w:r w:rsidR="00534173" w:rsidRPr="00D964A8">
        <w:rPr>
          <w:rFonts w:ascii="Book Antiqua" w:hAnsi="Book Antiqua"/>
          <w:sz w:val="21"/>
          <w:szCs w:val="21"/>
        </w:rPr>
        <w:t xml:space="preserve"> </w:t>
      </w:r>
      <w:r w:rsidR="00196C8A">
        <w:rPr>
          <w:rFonts w:ascii="Book Antiqua" w:hAnsi="Book Antiqua"/>
          <w:sz w:val="21"/>
          <w:szCs w:val="21"/>
        </w:rPr>
        <w:t xml:space="preserve">is the </w:t>
      </w:r>
      <w:r w:rsidR="00600F08" w:rsidRPr="00600F08">
        <w:rPr>
          <w:rFonts w:ascii="Book Antiqua" w:hAnsi="Book Antiqua"/>
          <w:sz w:val="21"/>
          <w:szCs w:val="21"/>
        </w:rPr>
        <w:t xml:space="preserve">Chief </w:t>
      </w:r>
      <w:r w:rsidR="000653B4">
        <w:rPr>
          <w:rFonts w:ascii="Book Antiqua" w:hAnsi="Book Antiqua"/>
          <w:sz w:val="21"/>
          <w:szCs w:val="21"/>
        </w:rPr>
        <w:t>Technology</w:t>
      </w:r>
      <w:r w:rsidR="00600F08" w:rsidRPr="00600F08">
        <w:rPr>
          <w:rFonts w:ascii="Book Antiqua" w:hAnsi="Book Antiqua"/>
          <w:sz w:val="21"/>
          <w:szCs w:val="21"/>
        </w:rPr>
        <w:t xml:space="preserve"> Officer of </w:t>
      </w:r>
      <w:r w:rsidR="00956807" w:rsidRPr="00956807">
        <w:rPr>
          <w:rStyle w:val="Emphasis"/>
          <w:rFonts w:ascii="Book Antiqua" w:hAnsi="Book Antiqua"/>
          <w:i w:val="0"/>
          <w:sz w:val="21"/>
          <w:szCs w:val="21"/>
        </w:rPr>
        <w:t>Clarity Consulting Corporation</w:t>
      </w:r>
      <w:r w:rsidR="00062E06">
        <w:rPr>
          <w:rStyle w:val="Emphasis"/>
          <w:rFonts w:ascii="Book Antiqua" w:hAnsi="Book Antiqua"/>
          <w:i w:val="0"/>
          <w:sz w:val="21"/>
          <w:szCs w:val="21"/>
        </w:rPr>
        <w:t xml:space="preserve">, </w:t>
      </w:r>
      <w:r w:rsidR="000653B4" w:rsidRPr="000653B4">
        <w:rPr>
          <w:rStyle w:val="Emphasis"/>
          <w:rFonts w:ascii="Book Antiqua" w:hAnsi="Book Antiqua"/>
          <w:i w:val="0"/>
          <w:sz w:val="21"/>
          <w:szCs w:val="21"/>
        </w:rPr>
        <w:t>a Houston-based cyber security consulting and product research and development company.</w:t>
      </w:r>
      <w:r w:rsidR="00600F08">
        <w:rPr>
          <w:rFonts w:ascii="Book Antiqua" w:hAnsi="Book Antiqua"/>
          <w:sz w:val="21"/>
          <w:szCs w:val="21"/>
        </w:rPr>
        <w:t xml:space="preserve"> </w:t>
      </w:r>
      <w:r w:rsidR="00534173" w:rsidRPr="00D964A8">
        <w:rPr>
          <w:rFonts w:ascii="Book Antiqua" w:hAnsi="Book Antiqua"/>
          <w:noProof/>
          <w:sz w:val="21"/>
          <w:szCs w:val="21"/>
        </w:rPr>
        <w:t>Paul i</w:t>
      </w:r>
      <w:r w:rsidR="006B04AC" w:rsidRPr="00D964A8">
        <w:rPr>
          <w:rFonts w:ascii="Book Antiqua" w:hAnsi="Book Antiqua"/>
          <w:noProof/>
          <w:sz w:val="21"/>
          <w:szCs w:val="21"/>
        </w:rPr>
        <w:t>s a</w:t>
      </w:r>
      <w:r w:rsidR="00062E06">
        <w:rPr>
          <w:rFonts w:ascii="Book Antiqua" w:hAnsi="Book Antiqua"/>
          <w:noProof/>
          <w:sz w:val="21"/>
          <w:szCs w:val="21"/>
        </w:rPr>
        <w:t xml:space="preserve"> </w:t>
      </w:r>
      <w:r w:rsidR="00594036">
        <w:rPr>
          <w:rFonts w:ascii="Book Antiqua" w:hAnsi="Book Antiqua"/>
          <w:noProof/>
          <w:sz w:val="21"/>
          <w:szCs w:val="21"/>
        </w:rPr>
        <w:t>national</w:t>
      </w:r>
      <w:r w:rsidR="008D7E82">
        <w:rPr>
          <w:rFonts w:ascii="Book Antiqua" w:hAnsi="Book Antiqua"/>
          <w:noProof/>
          <w:sz w:val="21"/>
          <w:szCs w:val="21"/>
        </w:rPr>
        <w:t xml:space="preserve"> and international</w:t>
      </w:r>
      <w:r w:rsidRPr="00D964A8">
        <w:rPr>
          <w:rFonts w:ascii="Book Antiqua" w:hAnsi="Book Antiqua"/>
          <w:noProof/>
          <w:sz w:val="21"/>
          <w:szCs w:val="21"/>
        </w:rPr>
        <w:t xml:space="preserve"> public speaker in the information </w:t>
      </w:r>
      <w:r w:rsidR="005B78E2" w:rsidRPr="00D964A8">
        <w:rPr>
          <w:rFonts w:ascii="Book Antiqua" w:hAnsi="Book Antiqua"/>
          <w:noProof/>
          <w:sz w:val="21"/>
          <w:szCs w:val="21"/>
        </w:rPr>
        <w:t>security field with</w:t>
      </w:r>
      <w:r w:rsidR="00594036">
        <w:rPr>
          <w:rFonts w:ascii="Book Antiqua" w:hAnsi="Book Antiqua"/>
          <w:noProof/>
          <w:sz w:val="21"/>
          <w:szCs w:val="21"/>
        </w:rPr>
        <w:t xml:space="preserve"> </w:t>
      </w:r>
      <w:r w:rsidR="005B78E2" w:rsidRPr="00D964A8">
        <w:rPr>
          <w:rFonts w:ascii="Book Antiqua" w:hAnsi="Book Antiqua"/>
          <w:sz w:val="21"/>
          <w:szCs w:val="21"/>
        </w:rPr>
        <w:t xml:space="preserve">experience </w:t>
      </w:r>
      <w:r w:rsidR="006B04AC" w:rsidRPr="00D964A8">
        <w:rPr>
          <w:rFonts w:ascii="Book Antiqua" w:hAnsi="Book Antiqua"/>
          <w:sz w:val="21"/>
          <w:szCs w:val="21"/>
        </w:rPr>
        <w:t xml:space="preserve">across </w:t>
      </w:r>
      <w:r w:rsidR="005B78E2" w:rsidRPr="00D964A8">
        <w:rPr>
          <w:rFonts w:ascii="Book Antiqua" w:hAnsi="Book Antiqua"/>
          <w:sz w:val="21"/>
          <w:szCs w:val="21"/>
        </w:rPr>
        <w:t xml:space="preserve">the </w:t>
      </w:r>
      <w:r w:rsidR="006B04AC" w:rsidRPr="00D964A8">
        <w:rPr>
          <w:rFonts w:ascii="Book Antiqua" w:hAnsi="Book Antiqua"/>
          <w:sz w:val="21"/>
          <w:szCs w:val="21"/>
        </w:rPr>
        <w:t xml:space="preserve">breath of the </w:t>
      </w:r>
      <w:r w:rsidR="005B78E2" w:rsidRPr="00D964A8">
        <w:rPr>
          <w:rFonts w:ascii="Book Antiqua" w:hAnsi="Book Antiqua"/>
          <w:sz w:val="21"/>
          <w:szCs w:val="21"/>
        </w:rPr>
        <w:t>cyber security field</w:t>
      </w:r>
      <w:r w:rsidR="00AF1693">
        <w:rPr>
          <w:rFonts w:ascii="Book Antiqua" w:hAnsi="Book Antiqua"/>
          <w:sz w:val="21"/>
          <w:szCs w:val="21"/>
        </w:rPr>
        <w:t xml:space="preserve"> and </w:t>
      </w:r>
      <w:r w:rsidR="00196C8A">
        <w:rPr>
          <w:rFonts w:ascii="Book Antiqua" w:hAnsi="Book Antiqua"/>
          <w:sz w:val="21"/>
          <w:szCs w:val="21"/>
        </w:rPr>
        <w:t xml:space="preserve">multiple fields of </w:t>
      </w:r>
      <w:r w:rsidR="00AF1693">
        <w:rPr>
          <w:rFonts w:ascii="Book Antiqua" w:hAnsi="Book Antiqua"/>
          <w:sz w:val="21"/>
          <w:szCs w:val="21"/>
        </w:rPr>
        <w:t>technology</w:t>
      </w:r>
      <w:r w:rsidR="005B78E2" w:rsidRPr="00D964A8">
        <w:rPr>
          <w:rFonts w:ascii="Book Antiqua" w:hAnsi="Book Antiqua"/>
          <w:sz w:val="21"/>
          <w:szCs w:val="21"/>
        </w:rPr>
        <w:t xml:space="preserve">. </w:t>
      </w:r>
      <w:r w:rsidR="00534173" w:rsidRPr="00D964A8">
        <w:rPr>
          <w:rFonts w:ascii="Book Antiqua" w:hAnsi="Book Antiqua"/>
          <w:noProof/>
          <w:sz w:val="21"/>
          <w:szCs w:val="21"/>
        </w:rPr>
        <w:t>Paul</w:t>
      </w:r>
      <w:r w:rsidRPr="00D964A8">
        <w:rPr>
          <w:rFonts w:ascii="Book Antiqua" w:hAnsi="Book Antiqua"/>
          <w:noProof/>
          <w:sz w:val="21"/>
          <w:szCs w:val="21"/>
        </w:rPr>
        <w:t xml:space="preserve"> has</w:t>
      </w:r>
      <w:r w:rsidR="00AC3A30" w:rsidRPr="00D964A8">
        <w:rPr>
          <w:rFonts w:ascii="Book Antiqua" w:hAnsi="Book Antiqua"/>
          <w:sz w:val="21"/>
          <w:szCs w:val="21"/>
        </w:rPr>
        <w:t xml:space="preserve"> spoken at </w:t>
      </w:r>
      <w:r w:rsidR="00BF5D56">
        <w:rPr>
          <w:rFonts w:ascii="Book Antiqua" w:hAnsi="Book Antiqua"/>
          <w:sz w:val="21"/>
          <w:szCs w:val="21"/>
        </w:rPr>
        <w:t xml:space="preserve">more than </w:t>
      </w:r>
      <w:r w:rsidR="00807D71">
        <w:rPr>
          <w:rFonts w:ascii="Book Antiqua" w:hAnsi="Book Antiqua"/>
          <w:sz w:val="21"/>
          <w:szCs w:val="21"/>
        </w:rPr>
        <w:t>2</w:t>
      </w:r>
      <w:r w:rsidR="00D37F76">
        <w:rPr>
          <w:rFonts w:ascii="Book Antiqua" w:hAnsi="Book Antiqua"/>
          <w:sz w:val="21"/>
          <w:szCs w:val="21"/>
        </w:rPr>
        <w:t>9</w:t>
      </w:r>
      <w:r w:rsidR="00807D71">
        <w:rPr>
          <w:rFonts w:ascii="Book Antiqua" w:hAnsi="Book Antiqua"/>
          <w:sz w:val="21"/>
          <w:szCs w:val="21"/>
        </w:rPr>
        <w:t xml:space="preserve">0 </w:t>
      </w:r>
      <w:r w:rsidR="00AC3A30" w:rsidRPr="00D964A8">
        <w:rPr>
          <w:rFonts w:ascii="Book Antiqua" w:hAnsi="Book Antiqua"/>
          <w:sz w:val="21"/>
          <w:szCs w:val="21"/>
        </w:rPr>
        <w:t xml:space="preserve">conferences and seminars across the U.S. and </w:t>
      </w:r>
      <w:r w:rsidR="008D7E82">
        <w:rPr>
          <w:rFonts w:ascii="Book Antiqua" w:hAnsi="Book Antiqua"/>
          <w:sz w:val="21"/>
          <w:szCs w:val="21"/>
        </w:rPr>
        <w:t>around the world</w:t>
      </w:r>
      <w:r w:rsidR="009802C3" w:rsidRPr="00D964A8">
        <w:rPr>
          <w:rFonts w:ascii="Book Antiqua" w:hAnsi="Book Antiqua"/>
          <w:sz w:val="21"/>
          <w:szCs w:val="21"/>
        </w:rPr>
        <w:t xml:space="preserve"> </w:t>
      </w:r>
      <w:r w:rsidR="00AC3A30" w:rsidRPr="00D964A8">
        <w:rPr>
          <w:rFonts w:ascii="Book Antiqua" w:hAnsi="Book Antiqua"/>
          <w:sz w:val="21"/>
          <w:szCs w:val="21"/>
        </w:rPr>
        <w:t xml:space="preserve">over the past </w:t>
      </w:r>
      <w:r w:rsidR="00807D71">
        <w:rPr>
          <w:rFonts w:ascii="Book Antiqua" w:hAnsi="Book Antiqua"/>
          <w:sz w:val="21"/>
          <w:szCs w:val="21"/>
        </w:rPr>
        <w:t>20</w:t>
      </w:r>
      <w:r w:rsidR="00AC3A30" w:rsidRPr="00D964A8">
        <w:rPr>
          <w:rFonts w:ascii="Book Antiqua" w:hAnsi="Book Antiqua"/>
          <w:sz w:val="21"/>
          <w:szCs w:val="21"/>
        </w:rPr>
        <w:t xml:space="preserve"> years</w:t>
      </w:r>
      <w:r w:rsidR="006B04AC" w:rsidRPr="00D964A8">
        <w:rPr>
          <w:rFonts w:ascii="Book Antiqua" w:hAnsi="Book Antiqua"/>
          <w:sz w:val="21"/>
          <w:szCs w:val="21"/>
        </w:rPr>
        <w:t>, frequently as a paid keynote speaker.</w:t>
      </w:r>
    </w:p>
    <w:p w14:paraId="1BE8E7D3" w14:textId="7914A03E" w:rsidR="00B8703D" w:rsidRPr="00D964A8" w:rsidRDefault="00534173" w:rsidP="00B8703D">
      <w:p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Paul’s</w:t>
      </w:r>
      <w:r w:rsidR="00F06F2C" w:rsidRPr="00D964A8">
        <w:rPr>
          <w:rFonts w:ascii="Book Antiqua" w:hAnsi="Book Antiqua"/>
          <w:sz w:val="21"/>
          <w:szCs w:val="21"/>
        </w:rPr>
        <w:t xml:space="preserve"> </w:t>
      </w:r>
      <w:r w:rsidRPr="00D964A8">
        <w:rPr>
          <w:rFonts w:ascii="Book Antiqua" w:hAnsi="Book Antiqua"/>
          <w:sz w:val="21"/>
          <w:szCs w:val="21"/>
        </w:rPr>
        <w:t xml:space="preserve">favorite </w:t>
      </w:r>
      <w:r w:rsidR="00B8703D" w:rsidRPr="00D964A8">
        <w:rPr>
          <w:rFonts w:ascii="Book Antiqua" w:hAnsi="Book Antiqua"/>
          <w:sz w:val="21"/>
          <w:szCs w:val="21"/>
        </w:rPr>
        <w:t xml:space="preserve">speaking </w:t>
      </w:r>
      <w:r w:rsidRPr="00D964A8">
        <w:rPr>
          <w:rFonts w:ascii="Book Antiqua" w:hAnsi="Book Antiqua"/>
          <w:sz w:val="21"/>
          <w:szCs w:val="21"/>
        </w:rPr>
        <w:t>topics</w:t>
      </w:r>
      <w:r w:rsidR="00B8703D" w:rsidRPr="00D964A8">
        <w:rPr>
          <w:rFonts w:ascii="Book Antiqua" w:hAnsi="Book Antiqua"/>
          <w:sz w:val="21"/>
          <w:szCs w:val="21"/>
        </w:rPr>
        <w:t xml:space="preserve"> </w:t>
      </w:r>
      <w:r w:rsidRPr="00D964A8">
        <w:rPr>
          <w:rFonts w:ascii="Book Antiqua" w:hAnsi="Book Antiqua"/>
          <w:sz w:val="21"/>
          <w:szCs w:val="21"/>
        </w:rPr>
        <w:t xml:space="preserve">include </w:t>
      </w:r>
      <w:r w:rsidR="00B8703D" w:rsidRPr="00D964A8">
        <w:rPr>
          <w:rFonts w:ascii="Book Antiqua" w:hAnsi="Book Antiqua"/>
          <w:sz w:val="21"/>
          <w:szCs w:val="21"/>
        </w:rPr>
        <w:t>complex employe</w:t>
      </w:r>
      <w:r w:rsidR="005B78E2" w:rsidRPr="00D964A8">
        <w:rPr>
          <w:rFonts w:ascii="Book Antiqua" w:hAnsi="Book Antiqua"/>
          <w:sz w:val="21"/>
          <w:szCs w:val="21"/>
        </w:rPr>
        <w:t>e insider threat investigations;</w:t>
      </w:r>
      <w:r w:rsidR="00B8703D" w:rsidRPr="00D964A8">
        <w:rPr>
          <w:rFonts w:ascii="Book Antiqua" w:hAnsi="Book Antiqua"/>
          <w:sz w:val="21"/>
          <w:szCs w:val="21"/>
        </w:rPr>
        <w:t xml:space="preserve"> </w:t>
      </w:r>
      <w:r w:rsidR="00B2545D" w:rsidRPr="00D964A8">
        <w:rPr>
          <w:rFonts w:ascii="Book Antiqua" w:hAnsi="Book Antiqua"/>
          <w:sz w:val="21"/>
          <w:szCs w:val="21"/>
        </w:rPr>
        <w:t xml:space="preserve">the detection, investigation, remediation and prevention of </w:t>
      </w:r>
      <w:r w:rsidR="00B8703D" w:rsidRPr="00D964A8">
        <w:rPr>
          <w:rFonts w:ascii="Book Antiqua" w:hAnsi="Book Antiqua"/>
          <w:sz w:val="21"/>
          <w:szCs w:val="21"/>
        </w:rPr>
        <w:t>advanced malware in enterprise</w:t>
      </w:r>
      <w:r w:rsidR="00F06F2C" w:rsidRPr="00D964A8">
        <w:rPr>
          <w:rFonts w:ascii="Book Antiqua" w:hAnsi="Book Antiqua"/>
          <w:sz w:val="21"/>
          <w:szCs w:val="21"/>
        </w:rPr>
        <w:t xml:space="preserve"> networks</w:t>
      </w:r>
      <w:r w:rsidR="005B78E2" w:rsidRPr="00D964A8">
        <w:rPr>
          <w:rFonts w:ascii="Book Antiqua" w:hAnsi="Book Antiqua"/>
          <w:sz w:val="21"/>
          <w:szCs w:val="21"/>
        </w:rPr>
        <w:t xml:space="preserve">; </w:t>
      </w:r>
      <w:r w:rsidR="00B2545D" w:rsidRPr="00D964A8">
        <w:rPr>
          <w:rFonts w:ascii="Book Antiqua" w:hAnsi="Book Antiqua"/>
          <w:sz w:val="21"/>
          <w:szCs w:val="21"/>
        </w:rPr>
        <w:t xml:space="preserve">cyber security </w:t>
      </w:r>
      <w:proofErr w:type="gramStart"/>
      <w:r w:rsidR="00B2545D" w:rsidRPr="00D964A8">
        <w:rPr>
          <w:rFonts w:ascii="Book Antiqua" w:hAnsi="Book Antiqua"/>
          <w:sz w:val="21"/>
          <w:szCs w:val="21"/>
        </w:rPr>
        <w:t>counter</w:t>
      </w:r>
      <w:r w:rsidR="00165C4B" w:rsidRPr="00D964A8">
        <w:rPr>
          <w:rFonts w:ascii="Book Antiqua" w:hAnsi="Book Antiqua"/>
          <w:sz w:val="21"/>
          <w:szCs w:val="21"/>
        </w:rPr>
        <w:t>-</w:t>
      </w:r>
      <w:r w:rsidR="005B78E2" w:rsidRPr="00D964A8">
        <w:rPr>
          <w:rFonts w:ascii="Book Antiqua" w:hAnsi="Book Antiqua"/>
          <w:sz w:val="21"/>
          <w:szCs w:val="21"/>
        </w:rPr>
        <w:t>intelligence</w:t>
      </w:r>
      <w:proofErr w:type="gramEnd"/>
      <w:r w:rsidR="005B78E2" w:rsidRPr="00D964A8">
        <w:rPr>
          <w:rFonts w:ascii="Book Antiqua" w:hAnsi="Book Antiqua"/>
          <w:sz w:val="21"/>
          <w:szCs w:val="21"/>
        </w:rPr>
        <w:t>;</w:t>
      </w:r>
      <w:r w:rsidR="00B2545D" w:rsidRPr="00D964A8">
        <w:rPr>
          <w:rFonts w:ascii="Book Antiqua" w:hAnsi="Book Antiqua"/>
          <w:sz w:val="21"/>
          <w:szCs w:val="21"/>
        </w:rPr>
        <w:t xml:space="preserve"> </w:t>
      </w:r>
      <w:r w:rsidR="00D964A8" w:rsidRPr="00D964A8">
        <w:rPr>
          <w:rFonts w:ascii="Book Antiqua" w:hAnsi="Book Antiqua"/>
          <w:sz w:val="21"/>
          <w:szCs w:val="21"/>
        </w:rPr>
        <w:t>weapons development an</w:t>
      </w:r>
      <w:r w:rsidR="00D964A8">
        <w:rPr>
          <w:rFonts w:ascii="Book Antiqua" w:hAnsi="Book Antiqua"/>
          <w:sz w:val="21"/>
          <w:szCs w:val="21"/>
        </w:rPr>
        <w:t xml:space="preserve">d defense related technologies; </w:t>
      </w:r>
      <w:r w:rsidR="006B04AC" w:rsidRPr="00D964A8">
        <w:rPr>
          <w:rFonts w:ascii="Book Antiqua" w:hAnsi="Book Antiqua"/>
          <w:sz w:val="21"/>
          <w:szCs w:val="21"/>
        </w:rPr>
        <w:t xml:space="preserve">software quality test engineering; </w:t>
      </w:r>
      <w:r w:rsidR="00B8703D" w:rsidRPr="00D964A8">
        <w:rPr>
          <w:rFonts w:ascii="Book Antiqua" w:hAnsi="Book Antiqua"/>
          <w:sz w:val="21"/>
          <w:szCs w:val="21"/>
        </w:rPr>
        <w:t>and enterprise network reengineering</w:t>
      </w:r>
      <w:r w:rsidR="00B2545D" w:rsidRPr="00D964A8">
        <w:rPr>
          <w:rFonts w:ascii="Book Antiqua" w:hAnsi="Book Antiqua"/>
          <w:sz w:val="21"/>
          <w:szCs w:val="21"/>
        </w:rPr>
        <w:t xml:space="preserve"> for improved security, reliability, functionality, scalability at reduced cost of network ownership</w:t>
      </w:r>
      <w:r w:rsidR="00B8703D" w:rsidRPr="00D964A8">
        <w:rPr>
          <w:rFonts w:ascii="Book Antiqua" w:hAnsi="Book Antiqua"/>
          <w:sz w:val="21"/>
          <w:szCs w:val="21"/>
        </w:rPr>
        <w:t xml:space="preserve">.  Many of </w:t>
      </w:r>
      <w:r w:rsidRPr="00D964A8">
        <w:rPr>
          <w:rFonts w:ascii="Book Antiqua" w:hAnsi="Book Antiqua"/>
          <w:sz w:val="21"/>
          <w:szCs w:val="21"/>
        </w:rPr>
        <w:t>Paul’s</w:t>
      </w:r>
      <w:r w:rsidR="00B8703D" w:rsidRPr="00D964A8">
        <w:rPr>
          <w:rFonts w:ascii="Book Antiqua" w:hAnsi="Book Antiqua"/>
          <w:sz w:val="21"/>
          <w:szCs w:val="21"/>
        </w:rPr>
        <w:t xml:space="preserve"> presentations have been </w:t>
      </w:r>
      <w:r w:rsidR="006B04AC" w:rsidRPr="00D964A8">
        <w:rPr>
          <w:rFonts w:ascii="Book Antiqua" w:hAnsi="Book Antiqua"/>
          <w:sz w:val="21"/>
          <w:szCs w:val="21"/>
        </w:rPr>
        <w:t xml:space="preserve">paid </w:t>
      </w:r>
      <w:r w:rsidR="00B8703D" w:rsidRPr="00D964A8">
        <w:rPr>
          <w:rFonts w:ascii="Book Antiqua" w:hAnsi="Book Antiqua"/>
          <w:sz w:val="21"/>
          <w:szCs w:val="21"/>
        </w:rPr>
        <w:t xml:space="preserve">keynote addresses, and </w:t>
      </w:r>
      <w:r w:rsidR="00F06F2C" w:rsidRPr="00D964A8">
        <w:rPr>
          <w:rFonts w:ascii="Book Antiqua" w:hAnsi="Book Antiqua"/>
          <w:sz w:val="21"/>
          <w:szCs w:val="21"/>
        </w:rPr>
        <w:t>he has</w:t>
      </w:r>
      <w:r w:rsidR="00B8703D" w:rsidRPr="00D964A8">
        <w:rPr>
          <w:rFonts w:ascii="Book Antiqua" w:hAnsi="Book Antiqua"/>
          <w:sz w:val="21"/>
          <w:szCs w:val="21"/>
        </w:rPr>
        <w:t xml:space="preserve"> been </w:t>
      </w:r>
      <w:r w:rsidR="00321E7F">
        <w:rPr>
          <w:rFonts w:ascii="Book Antiqua" w:hAnsi="Book Antiqua"/>
          <w:sz w:val="21"/>
          <w:szCs w:val="21"/>
        </w:rPr>
        <w:t xml:space="preserve">featured </w:t>
      </w:r>
      <w:r w:rsidR="00B8703D" w:rsidRPr="00D964A8">
        <w:rPr>
          <w:rFonts w:ascii="Book Antiqua" w:hAnsi="Book Antiqua"/>
          <w:sz w:val="21"/>
          <w:szCs w:val="21"/>
        </w:rPr>
        <w:t xml:space="preserve">on television and radio </w:t>
      </w:r>
      <w:r w:rsidR="00321E7F">
        <w:rPr>
          <w:rFonts w:ascii="Book Antiqua" w:hAnsi="Book Antiqua"/>
          <w:sz w:val="21"/>
          <w:szCs w:val="21"/>
        </w:rPr>
        <w:t xml:space="preserve">programs </w:t>
      </w:r>
      <w:r w:rsidR="00B8703D" w:rsidRPr="00D964A8">
        <w:rPr>
          <w:rFonts w:ascii="Book Antiqua" w:hAnsi="Book Antiqua"/>
          <w:sz w:val="21"/>
          <w:szCs w:val="21"/>
        </w:rPr>
        <w:t>both in the U.S. and in Europe.</w:t>
      </w:r>
    </w:p>
    <w:p w14:paraId="51125B06" w14:textId="3C477617" w:rsidR="00B8703D" w:rsidRPr="00D964A8" w:rsidRDefault="00534173" w:rsidP="00B8703D">
      <w:p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Paul</w:t>
      </w:r>
      <w:r w:rsidR="00F06F2C" w:rsidRPr="00D964A8">
        <w:rPr>
          <w:rFonts w:ascii="Book Antiqua" w:hAnsi="Book Antiqua"/>
          <w:sz w:val="21"/>
          <w:szCs w:val="21"/>
        </w:rPr>
        <w:t xml:space="preserve"> has</w:t>
      </w:r>
      <w:r w:rsidR="00B8703D" w:rsidRPr="00D964A8">
        <w:rPr>
          <w:rFonts w:ascii="Book Antiqua" w:hAnsi="Book Antiqua"/>
          <w:sz w:val="21"/>
          <w:szCs w:val="21"/>
        </w:rPr>
        <w:t xml:space="preserve"> </w:t>
      </w:r>
      <w:r w:rsidR="00ED2416">
        <w:rPr>
          <w:rFonts w:ascii="Book Antiqua" w:hAnsi="Book Antiqua"/>
          <w:sz w:val="21"/>
          <w:szCs w:val="21"/>
        </w:rPr>
        <w:t xml:space="preserve">presented </w:t>
      </w:r>
      <w:r w:rsidR="00FD589F">
        <w:rPr>
          <w:rFonts w:ascii="Book Antiqua" w:hAnsi="Book Antiqua"/>
          <w:sz w:val="21"/>
          <w:szCs w:val="21"/>
        </w:rPr>
        <w:t>at</w:t>
      </w:r>
      <w:r w:rsidR="00ED2416">
        <w:rPr>
          <w:rFonts w:ascii="Book Antiqua" w:hAnsi="Book Antiqua"/>
          <w:sz w:val="21"/>
          <w:szCs w:val="21"/>
        </w:rPr>
        <w:t xml:space="preserve"> </w:t>
      </w:r>
      <w:r w:rsidR="00F63647">
        <w:rPr>
          <w:rFonts w:ascii="Book Antiqua" w:hAnsi="Book Antiqua"/>
          <w:sz w:val="21"/>
          <w:szCs w:val="21"/>
        </w:rPr>
        <w:t>multiple</w:t>
      </w:r>
      <w:r w:rsidR="00ED2416">
        <w:rPr>
          <w:rFonts w:ascii="Book Antiqua" w:hAnsi="Book Antiqua"/>
          <w:sz w:val="21"/>
          <w:szCs w:val="21"/>
        </w:rPr>
        <w:t xml:space="preserve"> o</w:t>
      </w:r>
      <w:r w:rsidR="00ED2416" w:rsidRPr="00ED2416">
        <w:rPr>
          <w:rFonts w:ascii="Book Antiqua" w:hAnsi="Book Antiqua"/>
          <w:sz w:val="21"/>
          <w:szCs w:val="21"/>
        </w:rPr>
        <w:t>rganizations</w:t>
      </w:r>
      <w:r w:rsidR="00ED2416">
        <w:rPr>
          <w:rFonts w:ascii="Book Antiqua" w:hAnsi="Book Antiqua"/>
          <w:sz w:val="21"/>
          <w:szCs w:val="21"/>
        </w:rPr>
        <w:t>,</w:t>
      </w:r>
      <w:r w:rsidR="00ED2416" w:rsidRPr="00ED2416">
        <w:rPr>
          <w:rFonts w:ascii="Book Antiqua" w:hAnsi="Book Antiqua"/>
          <w:sz w:val="21"/>
          <w:szCs w:val="21"/>
        </w:rPr>
        <w:t xml:space="preserve"> </w:t>
      </w:r>
      <w:r w:rsidR="00B8703D" w:rsidRPr="00D964A8">
        <w:rPr>
          <w:rFonts w:ascii="Book Antiqua" w:hAnsi="Book Antiqua"/>
          <w:sz w:val="21"/>
          <w:szCs w:val="21"/>
        </w:rPr>
        <w:t>includ</w:t>
      </w:r>
      <w:r w:rsidR="00ED2416">
        <w:rPr>
          <w:rFonts w:ascii="Book Antiqua" w:hAnsi="Book Antiqua"/>
          <w:sz w:val="21"/>
          <w:szCs w:val="21"/>
        </w:rPr>
        <w:t>ing</w:t>
      </w:r>
      <w:r w:rsidR="00B8703D" w:rsidRPr="00D964A8">
        <w:rPr>
          <w:rFonts w:ascii="Book Antiqua" w:hAnsi="Book Antiqua"/>
          <w:sz w:val="21"/>
          <w:szCs w:val="21"/>
        </w:rPr>
        <w:t>:</w:t>
      </w:r>
    </w:p>
    <w:p w14:paraId="028CD64A" w14:textId="28AAB7A9" w:rsidR="00594036" w:rsidRDefault="00594036" w:rsidP="00594036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594036">
        <w:rPr>
          <w:rFonts w:ascii="Book Antiqua" w:hAnsi="Book Antiqua"/>
          <w:sz w:val="21"/>
          <w:szCs w:val="21"/>
        </w:rPr>
        <w:t>American Association of Police Polygraphists</w:t>
      </w:r>
      <w:r w:rsidR="00031674">
        <w:rPr>
          <w:rFonts w:ascii="Book Antiqua" w:hAnsi="Book Antiqua"/>
          <w:sz w:val="21"/>
          <w:szCs w:val="21"/>
        </w:rPr>
        <w:t xml:space="preserve"> (AAPP)</w:t>
      </w:r>
    </w:p>
    <w:p w14:paraId="483AD90F" w14:textId="7E439A8C" w:rsidR="00165C4B" w:rsidRPr="00D964A8" w:rsidRDefault="00337E8C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American Petroleum Institute</w:t>
      </w:r>
      <w:r w:rsidR="00165C4B" w:rsidRPr="00D964A8">
        <w:rPr>
          <w:rFonts w:ascii="Book Antiqua" w:hAnsi="Book Antiqua"/>
          <w:sz w:val="21"/>
          <w:szCs w:val="21"/>
        </w:rPr>
        <w:t xml:space="preserve"> (API)</w:t>
      </w:r>
    </w:p>
    <w:p w14:paraId="14A5F329" w14:textId="77777777" w:rsidR="00165C4B" w:rsidRPr="00D964A8" w:rsidRDefault="002C31F1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Association of Information Technology Professionals</w:t>
      </w:r>
      <w:r w:rsidR="00165C4B" w:rsidRPr="00D964A8">
        <w:rPr>
          <w:rFonts w:ascii="Book Antiqua" w:hAnsi="Book Antiqua"/>
          <w:sz w:val="21"/>
          <w:szCs w:val="21"/>
        </w:rPr>
        <w:t xml:space="preserve"> (AITP)</w:t>
      </w:r>
    </w:p>
    <w:p w14:paraId="3D6E3626" w14:textId="77777777" w:rsidR="00165C4B" w:rsidRPr="00D964A8" w:rsidRDefault="00B8703D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Associatio</w:t>
      </w:r>
      <w:r w:rsidR="00165C4B" w:rsidRPr="00D964A8">
        <w:rPr>
          <w:rFonts w:ascii="Book Antiqua" w:hAnsi="Book Antiqua"/>
          <w:sz w:val="21"/>
          <w:szCs w:val="21"/>
        </w:rPr>
        <w:t>n for Computing Machinery (ACM)</w:t>
      </w:r>
    </w:p>
    <w:p w14:paraId="482029DE" w14:textId="77777777" w:rsidR="00165C4B" w:rsidRPr="00D964A8" w:rsidRDefault="00B8703D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Association of Contingency Planners</w:t>
      </w:r>
      <w:r w:rsidR="00165C4B" w:rsidRPr="00D964A8">
        <w:rPr>
          <w:rFonts w:ascii="Book Antiqua" w:hAnsi="Book Antiqua"/>
          <w:sz w:val="21"/>
          <w:szCs w:val="21"/>
        </w:rPr>
        <w:t xml:space="preserve"> (ACP)</w:t>
      </w:r>
    </w:p>
    <w:p w14:paraId="14F3103A" w14:textId="77777777" w:rsidR="00165C4B" w:rsidRPr="00D964A8" w:rsidRDefault="00B8703D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ASIS International (ASIS)</w:t>
      </w:r>
    </w:p>
    <w:p w14:paraId="4BC24E19" w14:textId="77777777" w:rsidR="00165C4B" w:rsidRPr="00D964A8" w:rsidRDefault="00337E8C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Energy Security Council (ESC)</w:t>
      </w:r>
    </w:p>
    <w:p w14:paraId="783AE46E" w14:textId="79AE621D" w:rsidR="00165C4B" w:rsidRDefault="00024C62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 xml:space="preserve">Electric </w:t>
      </w:r>
      <w:r w:rsidR="00165C4B" w:rsidRPr="00D964A8">
        <w:rPr>
          <w:rFonts w:ascii="Book Antiqua" w:hAnsi="Book Antiqua"/>
          <w:sz w:val="21"/>
          <w:szCs w:val="21"/>
        </w:rPr>
        <w:t>Power Research Institute (EPRI)</w:t>
      </w:r>
    </w:p>
    <w:p w14:paraId="31F6E1A8" w14:textId="50C70625" w:rsidR="00594036" w:rsidRPr="00D964A8" w:rsidRDefault="00594036" w:rsidP="00594036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594036">
        <w:rPr>
          <w:rFonts w:ascii="Book Antiqua" w:hAnsi="Book Antiqua"/>
          <w:sz w:val="21"/>
          <w:szCs w:val="21"/>
        </w:rPr>
        <w:t>Energy Capital Partnership</w:t>
      </w:r>
    </w:p>
    <w:p w14:paraId="065A3784" w14:textId="77777777" w:rsidR="00165C4B" w:rsidRPr="00D964A8" w:rsidRDefault="00024C62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Federal Bureau of Investigation</w:t>
      </w:r>
      <w:r w:rsidR="00165C4B" w:rsidRPr="00D964A8">
        <w:rPr>
          <w:rFonts w:ascii="Book Antiqua" w:hAnsi="Book Antiqua"/>
          <w:sz w:val="21"/>
          <w:szCs w:val="21"/>
        </w:rPr>
        <w:t xml:space="preserve"> (FBI)</w:t>
      </w:r>
    </w:p>
    <w:p w14:paraId="4E1077A1" w14:textId="77777777" w:rsidR="00165C4B" w:rsidRPr="00D964A8" w:rsidRDefault="00024C62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FBI InfraGard</w:t>
      </w:r>
      <w:r w:rsidR="00165C4B" w:rsidRPr="00D964A8">
        <w:rPr>
          <w:rFonts w:ascii="Book Antiqua" w:hAnsi="Book Antiqua"/>
          <w:sz w:val="21"/>
          <w:szCs w:val="21"/>
        </w:rPr>
        <w:t xml:space="preserve"> chapters across the country</w:t>
      </w:r>
    </w:p>
    <w:p w14:paraId="68CA2990" w14:textId="77777777" w:rsidR="00165C4B" w:rsidRPr="00D964A8" w:rsidRDefault="007A35E3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Institute of Internal Auditors</w:t>
      </w:r>
      <w:r w:rsidR="00AC3A30" w:rsidRPr="00D964A8">
        <w:rPr>
          <w:rFonts w:ascii="Book Antiqua" w:hAnsi="Book Antiqua"/>
          <w:sz w:val="21"/>
          <w:szCs w:val="21"/>
        </w:rPr>
        <w:t xml:space="preserve"> </w:t>
      </w:r>
      <w:r w:rsidRPr="00D964A8">
        <w:rPr>
          <w:rFonts w:ascii="Book Antiqua" w:hAnsi="Book Antiqua"/>
          <w:sz w:val="21"/>
          <w:szCs w:val="21"/>
        </w:rPr>
        <w:t>(</w:t>
      </w:r>
      <w:r w:rsidR="00AC3A30" w:rsidRPr="00D964A8">
        <w:rPr>
          <w:rFonts w:ascii="Book Antiqua" w:hAnsi="Book Antiqua"/>
          <w:sz w:val="21"/>
          <w:szCs w:val="21"/>
        </w:rPr>
        <w:t>IIA</w:t>
      </w:r>
      <w:r w:rsidR="00165C4B" w:rsidRPr="00D964A8">
        <w:rPr>
          <w:rFonts w:ascii="Book Antiqua" w:hAnsi="Book Antiqua"/>
          <w:sz w:val="21"/>
          <w:szCs w:val="21"/>
        </w:rPr>
        <w:t>)</w:t>
      </w:r>
    </w:p>
    <w:p w14:paraId="2EA95D7E" w14:textId="77777777" w:rsidR="00165C4B" w:rsidRPr="00D964A8" w:rsidRDefault="00A6389B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InfoSecurity Magazine (Mumb</w:t>
      </w:r>
      <w:r w:rsidR="00355238" w:rsidRPr="00D964A8">
        <w:rPr>
          <w:rFonts w:ascii="Book Antiqua" w:hAnsi="Book Antiqua"/>
          <w:sz w:val="21"/>
          <w:szCs w:val="21"/>
        </w:rPr>
        <w:t>a</w:t>
      </w:r>
      <w:r w:rsidRPr="00D964A8">
        <w:rPr>
          <w:rFonts w:ascii="Book Antiqua" w:hAnsi="Book Antiqua"/>
          <w:sz w:val="21"/>
          <w:szCs w:val="21"/>
        </w:rPr>
        <w:t>i</w:t>
      </w:r>
      <w:r w:rsidR="00355238" w:rsidRPr="00D964A8">
        <w:rPr>
          <w:rFonts w:ascii="Book Antiqua" w:hAnsi="Book Antiqua"/>
          <w:sz w:val="21"/>
          <w:szCs w:val="21"/>
        </w:rPr>
        <w:t>, India)</w:t>
      </w:r>
    </w:p>
    <w:p w14:paraId="32747EFE" w14:textId="77777777" w:rsidR="00165C4B" w:rsidRPr="00D964A8" w:rsidRDefault="00337E8C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International Relations and Security Network (ISN)</w:t>
      </w:r>
    </w:p>
    <w:p w14:paraId="3A38B668" w14:textId="77777777" w:rsidR="00165C4B" w:rsidRPr="00D964A8" w:rsidRDefault="009802C3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Internatio</w:t>
      </w:r>
      <w:r w:rsidR="00165C4B" w:rsidRPr="00D964A8">
        <w:rPr>
          <w:rFonts w:ascii="Book Antiqua" w:hAnsi="Book Antiqua"/>
          <w:sz w:val="21"/>
          <w:szCs w:val="21"/>
        </w:rPr>
        <w:t>nal Society of Automation (ISA)</w:t>
      </w:r>
    </w:p>
    <w:p w14:paraId="2CBA8F58" w14:textId="77777777" w:rsidR="00165C4B" w:rsidRPr="00D964A8" w:rsidRDefault="007A35E3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Information Systems Audit and Control Association</w:t>
      </w:r>
      <w:r w:rsidR="00165C4B" w:rsidRPr="00D964A8">
        <w:rPr>
          <w:rFonts w:ascii="Book Antiqua" w:hAnsi="Book Antiqua"/>
          <w:sz w:val="21"/>
          <w:szCs w:val="21"/>
        </w:rPr>
        <w:t xml:space="preserve"> (ISACA)</w:t>
      </w:r>
    </w:p>
    <w:p w14:paraId="0C19FB76" w14:textId="77777777" w:rsidR="00165C4B" w:rsidRPr="00D964A8" w:rsidRDefault="007A35E3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Information Systems Security Association (ISSA)</w:t>
      </w:r>
    </w:p>
    <w:p w14:paraId="5BD0A533" w14:textId="77777777" w:rsidR="00165C4B" w:rsidRPr="00D964A8" w:rsidRDefault="005F7F20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Information Technology Alliance (ITA)</w:t>
      </w:r>
    </w:p>
    <w:p w14:paraId="6E5E6C5E" w14:textId="77777777" w:rsidR="00165C4B" w:rsidRPr="00D964A8" w:rsidRDefault="009802C3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High Technology Crime Investigation Association (HTCIA)</w:t>
      </w:r>
    </w:p>
    <w:p w14:paraId="37703FFF" w14:textId="77777777" w:rsidR="00165C4B" w:rsidRPr="00D964A8" w:rsidRDefault="009F5AE8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lastRenderedPageBreak/>
        <w:t>National Association of Bank Security (NABS)</w:t>
      </w:r>
    </w:p>
    <w:p w14:paraId="6853D833" w14:textId="77777777" w:rsidR="00165C4B" w:rsidRPr="00D964A8" w:rsidRDefault="00C67F94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National Information Security Group (NAISG)</w:t>
      </w:r>
    </w:p>
    <w:p w14:paraId="3F10AC50" w14:textId="77777777" w:rsidR="00594036" w:rsidRDefault="00337E8C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Public Risk Management Association (PRMA)</w:t>
      </w:r>
    </w:p>
    <w:p w14:paraId="1E3688EC" w14:textId="77777777" w:rsidR="00594036" w:rsidRDefault="00594036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594036">
        <w:rPr>
          <w:rFonts w:ascii="Book Antiqua" w:hAnsi="Book Antiqua"/>
          <w:sz w:val="21"/>
          <w:szCs w:val="21"/>
        </w:rPr>
        <w:t>Rotary Club of Houston</w:t>
      </w:r>
    </w:p>
    <w:p w14:paraId="78673975" w14:textId="63ADD0F7" w:rsidR="00165C4B" w:rsidRPr="00594036" w:rsidRDefault="009802C3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594036">
        <w:rPr>
          <w:rFonts w:ascii="Book Antiqua" w:hAnsi="Book Antiqua"/>
          <w:sz w:val="21"/>
          <w:szCs w:val="21"/>
        </w:rPr>
        <w:t>Technology Association of Georgia (TAG)</w:t>
      </w:r>
    </w:p>
    <w:p w14:paraId="2B144341" w14:textId="1223B3ED" w:rsidR="00165C4B" w:rsidRDefault="00716499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Texas Association of Licensed Investigators (TALI)</w:t>
      </w:r>
    </w:p>
    <w:p w14:paraId="7EBA4743" w14:textId="696C4076" w:rsidR="00031674" w:rsidRPr="00D964A8" w:rsidRDefault="00031674" w:rsidP="00031674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T</w:t>
      </w:r>
      <w:r w:rsidRPr="00031674">
        <w:rPr>
          <w:rFonts w:ascii="Book Antiqua" w:hAnsi="Book Antiqua"/>
          <w:sz w:val="21"/>
          <w:szCs w:val="21"/>
        </w:rPr>
        <w:t>exas Association of School Business Officials</w:t>
      </w:r>
      <w:r>
        <w:rPr>
          <w:rFonts w:ascii="Book Antiqua" w:hAnsi="Book Antiqua"/>
          <w:sz w:val="21"/>
          <w:szCs w:val="21"/>
        </w:rPr>
        <w:t xml:space="preserve"> (TASBO)</w:t>
      </w:r>
    </w:p>
    <w:p w14:paraId="4364D0EE" w14:textId="77777777" w:rsidR="00165C4B" w:rsidRPr="00D964A8" w:rsidRDefault="009802C3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Texas Regional Infrastructure Security Conference (TRISC</w:t>
      </w:r>
      <w:r w:rsidR="00165C4B" w:rsidRPr="00D964A8">
        <w:rPr>
          <w:rFonts w:ascii="Book Antiqua" w:hAnsi="Book Antiqua"/>
          <w:sz w:val="21"/>
          <w:szCs w:val="21"/>
        </w:rPr>
        <w:t>)</w:t>
      </w:r>
    </w:p>
    <w:p w14:paraId="0DB01CC5" w14:textId="5B2E430B" w:rsidR="00165C4B" w:rsidRDefault="009802C3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 xml:space="preserve">Texas Technology Conference </w:t>
      </w:r>
    </w:p>
    <w:p w14:paraId="18CEE4D9" w14:textId="7A44AD59" w:rsidR="00594036" w:rsidRPr="00D964A8" w:rsidRDefault="00594036" w:rsidP="00594036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594036">
        <w:rPr>
          <w:rFonts w:ascii="Book Antiqua" w:hAnsi="Book Antiqua"/>
          <w:sz w:val="21"/>
          <w:szCs w:val="21"/>
        </w:rPr>
        <w:t>The Grand Lodge of Texas - West University Masonic Center</w:t>
      </w:r>
    </w:p>
    <w:p w14:paraId="384C7108" w14:textId="77777777" w:rsidR="00165C4B" w:rsidRPr="00D964A8" w:rsidRDefault="00024C62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United States Secret Service</w:t>
      </w:r>
      <w:r w:rsidR="00095BC7" w:rsidRPr="00D964A8">
        <w:rPr>
          <w:rFonts w:ascii="Book Antiqua" w:hAnsi="Book Antiqua"/>
          <w:sz w:val="21"/>
          <w:szCs w:val="21"/>
        </w:rPr>
        <w:t xml:space="preserve"> Electric Crimes Task Force (USSS ECTF)</w:t>
      </w:r>
    </w:p>
    <w:p w14:paraId="679913F9" w14:textId="77777777" w:rsidR="00165C4B" w:rsidRPr="00D964A8" w:rsidRDefault="005F7F20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United Telecom Council (UTC)</w:t>
      </w:r>
    </w:p>
    <w:p w14:paraId="76A03003" w14:textId="77777777" w:rsidR="00165C4B" w:rsidRPr="00D964A8" w:rsidRDefault="00024C62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U.S. Department of Justice Anti</w:t>
      </w:r>
      <w:r w:rsidR="006C4DB0" w:rsidRPr="00D964A8">
        <w:rPr>
          <w:rFonts w:ascii="Book Antiqua" w:hAnsi="Book Antiqua"/>
          <w:sz w:val="21"/>
          <w:szCs w:val="21"/>
        </w:rPr>
        <w:t>-</w:t>
      </w:r>
      <w:r w:rsidRPr="00D964A8">
        <w:rPr>
          <w:rFonts w:ascii="Book Antiqua" w:hAnsi="Book Antiqua"/>
          <w:sz w:val="21"/>
          <w:szCs w:val="21"/>
        </w:rPr>
        <w:t>Terrorism Advisory Council (Do</w:t>
      </w:r>
      <w:r w:rsidR="00412331">
        <w:rPr>
          <w:rFonts w:ascii="Book Antiqua" w:hAnsi="Book Antiqua"/>
          <w:sz w:val="21"/>
          <w:szCs w:val="21"/>
        </w:rPr>
        <w:t>J</w:t>
      </w:r>
      <w:r w:rsidRPr="00D964A8">
        <w:rPr>
          <w:rFonts w:ascii="Book Antiqua" w:hAnsi="Book Antiqua"/>
          <w:sz w:val="21"/>
          <w:szCs w:val="21"/>
        </w:rPr>
        <w:t xml:space="preserve"> ATAC)</w:t>
      </w:r>
    </w:p>
    <w:p w14:paraId="7A5EED41" w14:textId="3663B683" w:rsidR="009F5AE8" w:rsidRDefault="0025207A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>Vanguard Integrity Professionals</w:t>
      </w:r>
    </w:p>
    <w:p w14:paraId="2A5DA21F" w14:textId="267AD805" w:rsidR="00594036" w:rsidRPr="00D964A8" w:rsidRDefault="00594036" w:rsidP="00165C4B">
      <w:pPr>
        <w:pStyle w:val="ListParagraph"/>
        <w:numPr>
          <w:ilvl w:val="0"/>
          <w:numId w:val="2"/>
        </w:num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World Affairs Council of Greater Houston</w:t>
      </w:r>
    </w:p>
    <w:p w14:paraId="26C0D4B8" w14:textId="1AD17CB0" w:rsidR="00B8703D" w:rsidRPr="00D964A8" w:rsidRDefault="00C17ADC" w:rsidP="00B8703D">
      <w:pPr>
        <w:rPr>
          <w:rFonts w:ascii="Book Antiqua" w:hAnsi="Book Antiqua"/>
          <w:sz w:val="21"/>
          <w:szCs w:val="21"/>
        </w:rPr>
      </w:pPr>
      <w:r w:rsidRPr="00D964A8">
        <w:rPr>
          <w:rFonts w:ascii="Book Antiqua" w:hAnsi="Book Antiqua"/>
          <w:sz w:val="21"/>
          <w:szCs w:val="21"/>
        </w:rPr>
        <w:t xml:space="preserve">Additionally, </w:t>
      </w:r>
      <w:r w:rsidR="00534173" w:rsidRPr="00D964A8">
        <w:rPr>
          <w:rFonts w:ascii="Book Antiqua" w:hAnsi="Book Antiqua"/>
          <w:sz w:val="21"/>
          <w:szCs w:val="21"/>
        </w:rPr>
        <w:t>Paul</w:t>
      </w:r>
      <w:r w:rsidRPr="00D964A8">
        <w:rPr>
          <w:rFonts w:ascii="Book Antiqua" w:hAnsi="Book Antiqua"/>
          <w:sz w:val="21"/>
          <w:szCs w:val="21"/>
        </w:rPr>
        <w:t xml:space="preserve"> has </w:t>
      </w:r>
      <w:r w:rsidR="00FD589F">
        <w:rPr>
          <w:rFonts w:ascii="Book Antiqua" w:hAnsi="Book Antiqua"/>
          <w:sz w:val="21"/>
          <w:szCs w:val="21"/>
        </w:rPr>
        <w:t>been a speaker at</w:t>
      </w:r>
      <w:r w:rsidR="00CD45E9" w:rsidRPr="00D964A8">
        <w:rPr>
          <w:rFonts w:ascii="Book Antiqua" w:hAnsi="Book Antiqua"/>
          <w:sz w:val="21"/>
          <w:szCs w:val="21"/>
        </w:rPr>
        <w:t xml:space="preserve"> </w:t>
      </w:r>
      <w:r w:rsidR="00196C8A">
        <w:rPr>
          <w:rFonts w:ascii="Book Antiqua" w:hAnsi="Book Antiqua"/>
          <w:sz w:val="21"/>
          <w:szCs w:val="21"/>
        </w:rPr>
        <w:t xml:space="preserve">more than 60 </w:t>
      </w:r>
      <w:r w:rsidR="00B8703D" w:rsidRPr="00D964A8">
        <w:rPr>
          <w:rFonts w:ascii="Book Antiqua" w:hAnsi="Book Antiqua"/>
          <w:sz w:val="21"/>
          <w:szCs w:val="21"/>
        </w:rPr>
        <w:t>universitie</w:t>
      </w:r>
      <w:r w:rsidR="00716499" w:rsidRPr="00D964A8">
        <w:rPr>
          <w:rFonts w:ascii="Book Antiqua" w:hAnsi="Book Antiqua"/>
          <w:sz w:val="21"/>
          <w:szCs w:val="21"/>
        </w:rPr>
        <w:t xml:space="preserve">s, </w:t>
      </w:r>
      <w:r w:rsidR="00B8703D" w:rsidRPr="00D964A8">
        <w:rPr>
          <w:rFonts w:ascii="Book Antiqua" w:hAnsi="Book Antiqua"/>
          <w:sz w:val="21"/>
          <w:szCs w:val="21"/>
        </w:rPr>
        <w:t>colleges</w:t>
      </w:r>
      <w:r w:rsidR="00716499" w:rsidRPr="00D964A8">
        <w:rPr>
          <w:rFonts w:ascii="Book Antiqua" w:hAnsi="Book Antiqua"/>
          <w:sz w:val="21"/>
          <w:szCs w:val="21"/>
        </w:rPr>
        <w:t>,</w:t>
      </w:r>
      <w:r w:rsidR="00B8703D" w:rsidRPr="00D964A8">
        <w:rPr>
          <w:rFonts w:ascii="Book Antiqua" w:hAnsi="Book Antiqua"/>
          <w:sz w:val="21"/>
          <w:szCs w:val="21"/>
        </w:rPr>
        <w:t xml:space="preserve"> </w:t>
      </w:r>
      <w:r w:rsidR="00716499" w:rsidRPr="00D964A8">
        <w:rPr>
          <w:rFonts w:ascii="Book Antiqua" w:hAnsi="Book Antiqua"/>
          <w:sz w:val="21"/>
          <w:szCs w:val="21"/>
        </w:rPr>
        <w:t xml:space="preserve">public and private </w:t>
      </w:r>
      <w:proofErr w:type="gramStart"/>
      <w:r w:rsidR="00716499" w:rsidRPr="00D964A8">
        <w:rPr>
          <w:rFonts w:ascii="Book Antiqua" w:hAnsi="Book Antiqua"/>
          <w:sz w:val="21"/>
          <w:szCs w:val="21"/>
        </w:rPr>
        <w:t>corporations</w:t>
      </w:r>
      <w:proofErr w:type="gramEnd"/>
      <w:r w:rsidR="00716499" w:rsidRPr="00D964A8">
        <w:rPr>
          <w:rFonts w:ascii="Book Antiqua" w:hAnsi="Book Antiqua"/>
          <w:sz w:val="21"/>
          <w:szCs w:val="21"/>
        </w:rPr>
        <w:t xml:space="preserve"> and nonprofit organizations </w:t>
      </w:r>
      <w:r w:rsidR="00B8703D" w:rsidRPr="00D964A8">
        <w:rPr>
          <w:rFonts w:ascii="Book Antiqua" w:hAnsi="Book Antiqua"/>
          <w:sz w:val="21"/>
          <w:szCs w:val="21"/>
        </w:rPr>
        <w:t xml:space="preserve">across the nation and </w:t>
      </w:r>
      <w:r w:rsidR="00716499" w:rsidRPr="00D964A8">
        <w:rPr>
          <w:rFonts w:ascii="Book Antiqua" w:hAnsi="Book Antiqua"/>
          <w:sz w:val="21"/>
          <w:szCs w:val="21"/>
        </w:rPr>
        <w:t>internationally</w:t>
      </w:r>
      <w:r w:rsidR="00196C8A">
        <w:rPr>
          <w:rFonts w:ascii="Book Antiqua" w:hAnsi="Book Antiqua"/>
          <w:sz w:val="21"/>
          <w:szCs w:val="21"/>
        </w:rPr>
        <w:t xml:space="preserve"> and has been featured on multiple television, radio, newspaper and magazine reports in the United States and Europe.</w:t>
      </w:r>
    </w:p>
    <w:sectPr w:rsidR="00B8703D" w:rsidRPr="00D964A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1CD63" w14:textId="77777777" w:rsidR="00DD65CD" w:rsidRDefault="00DD65CD" w:rsidP="006D6B56">
      <w:pPr>
        <w:spacing w:after="0" w:line="240" w:lineRule="auto"/>
      </w:pPr>
      <w:r>
        <w:separator/>
      </w:r>
    </w:p>
  </w:endnote>
  <w:endnote w:type="continuationSeparator" w:id="0">
    <w:p w14:paraId="797D08CD" w14:textId="77777777" w:rsidR="00DD65CD" w:rsidRDefault="00DD65CD" w:rsidP="006D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56628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20C525" w14:textId="0B5D8BF0" w:rsidR="00083DAB" w:rsidRDefault="00083DAB">
            <w:pPr>
              <w:pStyle w:val="Footer"/>
              <w:jc w:val="center"/>
            </w:pPr>
            <w:r w:rsidRPr="00DB0318">
              <w:rPr>
                <w:color w:val="808080" w:themeColor="background1" w:themeShade="80"/>
                <w:sz w:val="18"/>
              </w:rPr>
              <w:t xml:space="preserve">Page </w:t>
            </w:r>
            <w:r w:rsidRPr="00DB0318">
              <w:rPr>
                <w:b/>
                <w:bCs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DB0318">
              <w:rPr>
                <w:b/>
                <w:bCs/>
                <w:color w:val="808080" w:themeColor="background1" w:themeShade="80"/>
                <w:sz w:val="18"/>
              </w:rPr>
              <w:instrText xml:space="preserve"> PAGE </w:instrText>
            </w:r>
            <w:r w:rsidRPr="00DB0318">
              <w:rPr>
                <w:b/>
                <w:bCs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Pr="00DB0318">
              <w:rPr>
                <w:b/>
                <w:bCs/>
                <w:noProof/>
                <w:color w:val="808080" w:themeColor="background1" w:themeShade="80"/>
                <w:sz w:val="18"/>
              </w:rPr>
              <w:t>2</w:t>
            </w:r>
            <w:r w:rsidRPr="00DB0318">
              <w:rPr>
                <w:b/>
                <w:bCs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DB0318">
              <w:rPr>
                <w:color w:val="808080" w:themeColor="background1" w:themeShade="80"/>
                <w:sz w:val="18"/>
              </w:rPr>
              <w:t xml:space="preserve"> of </w:t>
            </w:r>
            <w:r w:rsidRPr="00DB0318">
              <w:rPr>
                <w:b/>
                <w:bCs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DB0318">
              <w:rPr>
                <w:b/>
                <w:bCs/>
                <w:color w:val="808080" w:themeColor="background1" w:themeShade="80"/>
                <w:sz w:val="18"/>
              </w:rPr>
              <w:instrText xml:space="preserve"> NUMPAGES  </w:instrText>
            </w:r>
            <w:r w:rsidRPr="00DB0318">
              <w:rPr>
                <w:b/>
                <w:bCs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Pr="00DB0318">
              <w:rPr>
                <w:b/>
                <w:bCs/>
                <w:noProof/>
                <w:color w:val="808080" w:themeColor="background1" w:themeShade="80"/>
                <w:sz w:val="18"/>
              </w:rPr>
              <w:t>2</w:t>
            </w:r>
            <w:r w:rsidRPr="00DB0318">
              <w:rPr>
                <w:b/>
                <w:bCs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14:paraId="06B756CC" w14:textId="77777777" w:rsidR="00083DAB" w:rsidRDefault="00083D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4FE3" w14:textId="77777777" w:rsidR="00DD65CD" w:rsidRDefault="00DD65CD" w:rsidP="006D6B56">
      <w:pPr>
        <w:spacing w:after="0" w:line="240" w:lineRule="auto"/>
      </w:pPr>
      <w:r>
        <w:separator/>
      </w:r>
    </w:p>
  </w:footnote>
  <w:footnote w:type="continuationSeparator" w:id="0">
    <w:p w14:paraId="22FDBADA" w14:textId="77777777" w:rsidR="00DD65CD" w:rsidRDefault="00DD65CD" w:rsidP="006D6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17101"/>
    <w:multiLevelType w:val="hybridMultilevel"/>
    <w:tmpl w:val="2458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A4189"/>
    <w:multiLevelType w:val="hybridMultilevel"/>
    <w:tmpl w:val="D37C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03D"/>
    <w:rsid w:val="00024C62"/>
    <w:rsid w:val="00031674"/>
    <w:rsid w:val="0003582A"/>
    <w:rsid w:val="00037DBE"/>
    <w:rsid w:val="00056D73"/>
    <w:rsid w:val="00062E06"/>
    <w:rsid w:val="000653B4"/>
    <w:rsid w:val="0007792D"/>
    <w:rsid w:val="00083DAB"/>
    <w:rsid w:val="00095BC7"/>
    <w:rsid w:val="000A0E40"/>
    <w:rsid w:val="000B0417"/>
    <w:rsid w:val="000C323E"/>
    <w:rsid w:val="000C3E88"/>
    <w:rsid w:val="000E0EBC"/>
    <w:rsid w:val="00152298"/>
    <w:rsid w:val="00164FCB"/>
    <w:rsid w:val="00165C4B"/>
    <w:rsid w:val="0018114C"/>
    <w:rsid w:val="001953F3"/>
    <w:rsid w:val="00196C8A"/>
    <w:rsid w:val="001D073A"/>
    <w:rsid w:val="001E12D6"/>
    <w:rsid w:val="00215B6A"/>
    <w:rsid w:val="0025207A"/>
    <w:rsid w:val="0027230D"/>
    <w:rsid w:val="00272C68"/>
    <w:rsid w:val="00291564"/>
    <w:rsid w:val="002972BF"/>
    <w:rsid w:val="002A77EA"/>
    <w:rsid w:val="002C31F1"/>
    <w:rsid w:val="002D4507"/>
    <w:rsid w:val="002D7DAB"/>
    <w:rsid w:val="002E6064"/>
    <w:rsid w:val="00321E7F"/>
    <w:rsid w:val="00337D47"/>
    <w:rsid w:val="00337E8C"/>
    <w:rsid w:val="00355238"/>
    <w:rsid w:val="003717B5"/>
    <w:rsid w:val="00391747"/>
    <w:rsid w:val="003D1413"/>
    <w:rsid w:val="003E5149"/>
    <w:rsid w:val="003E6E04"/>
    <w:rsid w:val="0041079D"/>
    <w:rsid w:val="004110EF"/>
    <w:rsid w:val="00412331"/>
    <w:rsid w:val="00441285"/>
    <w:rsid w:val="004C7283"/>
    <w:rsid w:val="00503656"/>
    <w:rsid w:val="005152DF"/>
    <w:rsid w:val="00534173"/>
    <w:rsid w:val="00594036"/>
    <w:rsid w:val="005A5B6C"/>
    <w:rsid w:val="005B1B02"/>
    <w:rsid w:val="005B78E2"/>
    <w:rsid w:val="005C078A"/>
    <w:rsid w:val="005E6CD7"/>
    <w:rsid w:val="005F14BE"/>
    <w:rsid w:val="005F7F20"/>
    <w:rsid w:val="00600F08"/>
    <w:rsid w:val="00623C65"/>
    <w:rsid w:val="00634706"/>
    <w:rsid w:val="00653F60"/>
    <w:rsid w:val="006633FF"/>
    <w:rsid w:val="00667A16"/>
    <w:rsid w:val="00695952"/>
    <w:rsid w:val="006B04AC"/>
    <w:rsid w:val="006C4DB0"/>
    <w:rsid w:val="006D6B56"/>
    <w:rsid w:val="006F04B4"/>
    <w:rsid w:val="00716499"/>
    <w:rsid w:val="00732048"/>
    <w:rsid w:val="00751C53"/>
    <w:rsid w:val="00753346"/>
    <w:rsid w:val="0076175F"/>
    <w:rsid w:val="00764480"/>
    <w:rsid w:val="007752EB"/>
    <w:rsid w:val="007A35E3"/>
    <w:rsid w:val="007D0716"/>
    <w:rsid w:val="007D3678"/>
    <w:rsid w:val="00807D71"/>
    <w:rsid w:val="00807E98"/>
    <w:rsid w:val="00850ADA"/>
    <w:rsid w:val="00856D29"/>
    <w:rsid w:val="00862ED5"/>
    <w:rsid w:val="008A55FD"/>
    <w:rsid w:val="008B585C"/>
    <w:rsid w:val="008D7E82"/>
    <w:rsid w:val="008E4CF9"/>
    <w:rsid w:val="008F5EBF"/>
    <w:rsid w:val="009126A7"/>
    <w:rsid w:val="00924B73"/>
    <w:rsid w:val="00931B86"/>
    <w:rsid w:val="0093306F"/>
    <w:rsid w:val="00952E68"/>
    <w:rsid w:val="009552F9"/>
    <w:rsid w:val="00956807"/>
    <w:rsid w:val="009802C3"/>
    <w:rsid w:val="009866EA"/>
    <w:rsid w:val="00992E11"/>
    <w:rsid w:val="009B559E"/>
    <w:rsid w:val="009C3948"/>
    <w:rsid w:val="009D7638"/>
    <w:rsid w:val="009F5AE8"/>
    <w:rsid w:val="00A00912"/>
    <w:rsid w:val="00A17CAF"/>
    <w:rsid w:val="00A6389B"/>
    <w:rsid w:val="00A650D2"/>
    <w:rsid w:val="00A92FAD"/>
    <w:rsid w:val="00AA094E"/>
    <w:rsid w:val="00AC3A30"/>
    <w:rsid w:val="00AF1536"/>
    <w:rsid w:val="00AF1693"/>
    <w:rsid w:val="00B13CF1"/>
    <w:rsid w:val="00B2060A"/>
    <w:rsid w:val="00B2545D"/>
    <w:rsid w:val="00B412A1"/>
    <w:rsid w:val="00B604B9"/>
    <w:rsid w:val="00B67C3F"/>
    <w:rsid w:val="00B82C0A"/>
    <w:rsid w:val="00B8703D"/>
    <w:rsid w:val="00BB4ECA"/>
    <w:rsid w:val="00BC0DE9"/>
    <w:rsid w:val="00BC631C"/>
    <w:rsid w:val="00BD5047"/>
    <w:rsid w:val="00BD7C59"/>
    <w:rsid w:val="00BF5D56"/>
    <w:rsid w:val="00C12B79"/>
    <w:rsid w:val="00C17ADC"/>
    <w:rsid w:val="00C5766C"/>
    <w:rsid w:val="00C67F94"/>
    <w:rsid w:val="00C72CFD"/>
    <w:rsid w:val="00C832F5"/>
    <w:rsid w:val="00C97222"/>
    <w:rsid w:val="00CA27FA"/>
    <w:rsid w:val="00CD45E9"/>
    <w:rsid w:val="00CF3A36"/>
    <w:rsid w:val="00D034CC"/>
    <w:rsid w:val="00D162BC"/>
    <w:rsid w:val="00D37F76"/>
    <w:rsid w:val="00D83213"/>
    <w:rsid w:val="00D91905"/>
    <w:rsid w:val="00D958BA"/>
    <w:rsid w:val="00D964A8"/>
    <w:rsid w:val="00DA617A"/>
    <w:rsid w:val="00DB0318"/>
    <w:rsid w:val="00DB1526"/>
    <w:rsid w:val="00DD65CD"/>
    <w:rsid w:val="00DE05E1"/>
    <w:rsid w:val="00E01AAF"/>
    <w:rsid w:val="00E02B39"/>
    <w:rsid w:val="00E058E5"/>
    <w:rsid w:val="00E27BF7"/>
    <w:rsid w:val="00E35FF9"/>
    <w:rsid w:val="00E539BC"/>
    <w:rsid w:val="00E53DCE"/>
    <w:rsid w:val="00E56384"/>
    <w:rsid w:val="00E8335B"/>
    <w:rsid w:val="00E94CF1"/>
    <w:rsid w:val="00ED2416"/>
    <w:rsid w:val="00ED44C0"/>
    <w:rsid w:val="00EF0F87"/>
    <w:rsid w:val="00F0564B"/>
    <w:rsid w:val="00F06F2C"/>
    <w:rsid w:val="00F54332"/>
    <w:rsid w:val="00F63647"/>
    <w:rsid w:val="00F63C30"/>
    <w:rsid w:val="00FA0B30"/>
    <w:rsid w:val="00FA0E5F"/>
    <w:rsid w:val="00FD45A1"/>
    <w:rsid w:val="00FD589F"/>
    <w:rsid w:val="00FF0AEB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DFDEC4"/>
  <w15:docId w15:val="{D120C557-6DC5-4080-BFF4-4327CF7D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0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D6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2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AE8"/>
    <w:pPr>
      <w:ind w:left="720"/>
      <w:contextualSpacing/>
    </w:pPr>
  </w:style>
  <w:style w:type="paragraph" w:customStyle="1" w:styleId="Heading1Par">
    <w:name w:val="Heading 1 Par"/>
    <w:link w:val="Heading1ParChar"/>
    <w:rsid w:val="00CD45E9"/>
    <w:pPr>
      <w:spacing w:before="160" w:after="0" w:line="240" w:lineRule="auto"/>
      <w:ind w:left="907"/>
    </w:pPr>
    <w:rPr>
      <w:rFonts w:ascii="Book Antiqua" w:eastAsia="Arial Unicode MS" w:hAnsi="Book Antiqua" w:cs="Arial Unicode MS"/>
      <w:kern w:val="21"/>
      <w:sz w:val="21"/>
      <w:szCs w:val="21"/>
    </w:rPr>
  </w:style>
  <w:style w:type="character" w:customStyle="1" w:styleId="Heading1ParChar">
    <w:name w:val="Heading 1 Par Char"/>
    <w:basedOn w:val="DefaultParagraphFont"/>
    <w:link w:val="Heading1Par"/>
    <w:rsid w:val="00CD45E9"/>
    <w:rPr>
      <w:rFonts w:ascii="Book Antiqua" w:eastAsia="Arial Unicode MS" w:hAnsi="Book Antiqua" w:cs="Arial Unicode MS"/>
      <w:kern w:val="21"/>
      <w:sz w:val="21"/>
      <w:szCs w:val="21"/>
    </w:rPr>
  </w:style>
  <w:style w:type="character" w:styleId="Hyperlink">
    <w:name w:val="Hyperlink"/>
    <w:basedOn w:val="DefaultParagraphFont"/>
    <w:uiPriority w:val="99"/>
    <w:rsid w:val="00CD45E9"/>
    <w:rPr>
      <w:rFonts w:ascii="Book Antiqua" w:hAnsi="Book Antiqua"/>
      <w:color w:val="0000FF"/>
      <w:sz w:val="21"/>
      <w:szCs w:val="21"/>
      <w:u w:val="single" w:color="0000FF"/>
    </w:rPr>
  </w:style>
  <w:style w:type="character" w:styleId="Emphasis">
    <w:name w:val="Emphasis"/>
    <w:basedOn w:val="DefaultParagraphFont"/>
    <w:qFormat/>
    <w:rsid w:val="00062E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Williams Speaking Profile</vt:lpstr>
    </vt:vector>
  </TitlesOfParts>
  <Company>Clarity Consulting Corporation</Company>
  <LinksUpToDate>false</LinksUpToDate>
  <CharactersWithSpaces>3025</CharactersWithSpaces>
  <SharedDoc>false</SharedDoc>
  <HyperlinkBase>www.theclaritycorp.com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Williams Speaking Profile</dc:title>
  <dc:subject>Paul Williams Speaking Profile</dc:subject>
  <dc:creator>Clarity Consulting Corporation</dc:creator>
  <dc:description>(C) 2020 Clarity Consulting Corporation. All Rights Reserved.</dc:description>
  <cp:lastModifiedBy>Paul Williams</cp:lastModifiedBy>
  <cp:revision>17</cp:revision>
  <cp:lastPrinted>2021-04-30T14:58:00Z</cp:lastPrinted>
  <dcterms:created xsi:type="dcterms:W3CDTF">2020-04-23T18:36:00Z</dcterms:created>
  <dcterms:modified xsi:type="dcterms:W3CDTF">2021-06-25T15:54:00Z</dcterms:modified>
  <cp:category>Information Security;cyber security</cp:category>
</cp:coreProperties>
</file>